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AD" w:rsidRDefault="00EA0DAD" w:rsidP="00EA0DAD">
      <w:pPr>
        <w:pStyle w:val="NormalWeb"/>
        <w:bidi/>
        <w:spacing w:before="0" w:beforeAutospacing="0" w:after="200" w:afterAutospacing="0"/>
        <w:jc w:val="center"/>
        <w:rPr>
          <w:rFonts w:ascii="Calibri" w:hAnsi="Calibri" w:cs="Calibri" w:hint="cs"/>
          <w:b/>
          <w:bCs/>
          <w:color w:val="000000"/>
          <w:u w:val="single"/>
          <w:rtl/>
        </w:rPr>
      </w:pPr>
      <w:r>
        <w:rPr>
          <w:rFonts w:ascii="Calibri" w:hAnsi="Calibri" w:cs="Calibri" w:hint="cs"/>
          <w:b/>
          <w:bCs/>
          <w:color w:val="000000"/>
          <w:u w:val="single"/>
          <w:rtl/>
        </w:rPr>
        <w:t>עיון מחדש בראיות מדעיות- מועד ב'</w:t>
      </w:r>
    </w:p>
    <w:p w:rsidR="00EA0DAD" w:rsidRPr="00EA0DAD" w:rsidRDefault="00EA0DAD" w:rsidP="00EA0DAD">
      <w:pPr>
        <w:pStyle w:val="NormalWeb"/>
        <w:bidi/>
        <w:spacing w:before="0" w:beforeAutospacing="0" w:after="200" w:afterAutospacing="0"/>
        <w:jc w:val="center"/>
        <w:rPr>
          <w:rFonts w:ascii="Calibri" w:hAnsi="Calibri" w:cs="Calibri" w:hint="cs"/>
          <w:b/>
          <w:bCs/>
          <w:color w:val="000000"/>
          <w:u w:val="single"/>
          <w:rtl/>
        </w:rPr>
      </w:pPr>
      <w:r w:rsidRPr="00EA0DAD">
        <w:rPr>
          <w:rFonts w:ascii="Calibri" w:hAnsi="Calibri" w:cs="Calibri" w:hint="cs"/>
          <w:b/>
          <w:bCs/>
          <w:color w:val="000000"/>
          <w:u w:val="single"/>
          <w:rtl/>
        </w:rPr>
        <w:t>החלק של ענת:</w:t>
      </w:r>
    </w:p>
    <w:p w:rsidR="00EA0DAD" w:rsidRPr="00EA0DAD" w:rsidRDefault="00EA0DAD" w:rsidP="00EA0DAD">
      <w:pPr>
        <w:pStyle w:val="NormalWeb"/>
        <w:bidi/>
        <w:spacing w:before="0" w:beforeAutospacing="0" w:after="200" w:afterAutospacing="0"/>
        <w:jc w:val="both"/>
        <w:rPr>
          <w:rFonts w:ascii="Calibri" w:hAnsi="Calibri" w:cs="Calibri" w:hint="cs"/>
          <w:b/>
          <w:bCs/>
          <w:color w:val="000000"/>
          <w:u w:val="single"/>
          <w:rtl/>
        </w:rPr>
      </w:pPr>
      <w:r w:rsidRPr="00EA0DAD">
        <w:rPr>
          <w:rFonts w:ascii="Calibri" w:hAnsi="Calibri" w:cs="Calibri" w:hint="cs"/>
          <w:b/>
          <w:bCs/>
          <w:color w:val="000000"/>
          <w:u w:val="single"/>
          <w:rtl/>
        </w:rPr>
        <w:t>שאלה 1-</w:t>
      </w:r>
    </w:p>
    <w:p w:rsidR="00EA0DAD" w:rsidRDefault="00EA0DAD" w:rsidP="00EA0DAD">
      <w:pPr>
        <w:pStyle w:val="NormalWeb"/>
        <w:bidi/>
        <w:spacing w:before="0" w:beforeAutospacing="0" w:after="200" w:afterAutospacing="0"/>
        <w:jc w:val="both"/>
        <w:rPr>
          <w:rFonts w:ascii="Calibri" w:hAnsi="Calibri" w:cs="Calibri" w:hint="cs"/>
          <w:color w:val="000000"/>
          <w:rtl/>
        </w:rPr>
      </w:pPr>
      <w:r>
        <w:rPr>
          <w:rFonts w:ascii="Calibri" w:hAnsi="Calibri" w:cs="Calibri" w:hint="cs"/>
          <w:color w:val="000000"/>
          <w:rtl/>
        </w:rPr>
        <w:t>עיקרי הממצאים של מבקר המדינה:</w:t>
      </w:r>
    </w:p>
    <w:p w:rsidR="00EA0DAD" w:rsidRDefault="00EA0DAD" w:rsidP="00EA0DAD">
      <w:pPr>
        <w:pStyle w:val="NormalWeb"/>
        <w:bidi/>
        <w:spacing w:before="0" w:beforeAutospacing="0" w:after="200" w:afterAutospacing="0"/>
        <w:jc w:val="both"/>
        <w:rPr>
          <w:rFonts w:ascii="Calibri" w:hAnsi="Calibri" w:cs="Calibri" w:hint="cs"/>
          <w:color w:val="000000"/>
          <w:rtl/>
        </w:rPr>
      </w:pPr>
      <w:r>
        <w:rPr>
          <w:rFonts w:ascii="Calibri" w:hAnsi="Calibri" w:cs="Calibri" w:hint="cs"/>
          <w:color w:val="000000"/>
          <w:rtl/>
        </w:rPr>
        <w:t>-רק מחצית משיטות הפעולה במעבדות מז"פ במטה הארצי עברו הסמכה</w:t>
      </w:r>
    </w:p>
    <w:p w:rsidR="00EA0DAD" w:rsidRDefault="00EA0DAD" w:rsidP="00EA0DAD">
      <w:pPr>
        <w:pStyle w:val="NormalWeb"/>
        <w:bidi/>
        <w:spacing w:before="0" w:beforeAutospacing="0" w:after="200" w:afterAutospacing="0"/>
        <w:jc w:val="both"/>
        <w:rPr>
          <w:rFonts w:ascii="Calibri" w:hAnsi="Calibri" w:cs="Calibri" w:hint="cs"/>
          <w:color w:val="000000"/>
          <w:rtl/>
        </w:rPr>
      </w:pPr>
      <w:r>
        <w:rPr>
          <w:rFonts w:ascii="Calibri" w:hAnsi="Calibri" w:cs="Calibri" w:hint="cs"/>
          <w:color w:val="000000"/>
          <w:rtl/>
        </w:rPr>
        <w:t>-תהליכי ושיטות הטיפול במוצגים בזירה ובמעבדות הניידות אינם מוסמכים ואינם נתונים לפיקוח.</w:t>
      </w:r>
    </w:p>
    <w:p w:rsidR="00EA0DAD" w:rsidRDefault="00EA0DAD" w:rsidP="00EA0DAD">
      <w:pPr>
        <w:pStyle w:val="NormalWeb"/>
        <w:bidi/>
        <w:spacing w:before="0" w:beforeAutospacing="0" w:after="200" w:afterAutospacing="0"/>
        <w:jc w:val="both"/>
        <w:rPr>
          <w:rFonts w:ascii="Calibri" w:hAnsi="Calibri" w:cs="Calibri" w:hint="cs"/>
          <w:color w:val="000000"/>
          <w:rtl/>
        </w:rPr>
      </w:pPr>
      <w:r>
        <w:rPr>
          <w:rFonts w:ascii="Calibri" w:hAnsi="Calibri" w:cs="Calibri" w:hint="cs"/>
          <w:color w:val="000000"/>
          <w:rtl/>
        </w:rPr>
        <w:t>-עומס רב במעבדות שעלול להשליך על איכות הבדיקות והטיות קוגניטיביות.</w:t>
      </w:r>
    </w:p>
    <w:p w:rsidR="00EA0DAD" w:rsidRDefault="00EA0DAD" w:rsidP="00EA0DAD">
      <w:pPr>
        <w:pStyle w:val="NormalWeb"/>
        <w:bidi/>
        <w:spacing w:before="0" w:beforeAutospacing="0" w:after="200" w:afterAutospacing="0"/>
        <w:jc w:val="both"/>
        <w:rPr>
          <w:rFonts w:ascii="Calibri" w:hAnsi="Calibri" w:cs="Calibri" w:hint="cs"/>
          <w:color w:val="000000"/>
          <w:rtl/>
        </w:rPr>
      </w:pPr>
      <w:r>
        <w:rPr>
          <w:rFonts w:ascii="Calibri" w:hAnsi="Calibri" w:cs="Calibri" w:hint="cs"/>
          <w:color w:val="000000"/>
          <w:rtl/>
        </w:rPr>
        <w:t>-אין נוהל לטיפול בדגימות דנ"א, חוקרי השטח אינם מיישמים את הדרכים למניעת זיהום מוצגי דנ"א</w:t>
      </w:r>
    </w:p>
    <w:p w:rsidR="00EA0DAD" w:rsidRDefault="00EA0DAD" w:rsidP="00EA0DAD">
      <w:pPr>
        <w:pStyle w:val="NormalWeb"/>
        <w:bidi/>
        <w:spacing w:before="0" w:beforeAutospacing="0" w:after="200" w:afterAutospacing="0"/>
        <w:jc w:val="both"/>
        <w:rPr>
          <w:rFonts w:ascii="Calibri" w:hAnsi="Calibri" w:cs="Calibri" w:hint="cs"/>
          <w:color w:val="000000"/>
          <w:rtl/>
        </w:rPr>
      </w:pPr>
      <w:r>
        <w:rPr>
          <w:rFonts w:ascii="Calibri" w:hAnsi="Calibri" w:cs="Calibri" w:hint="cs"/>
          <w:color w:val="000000"/>
          <w:rtl/>
        </w:rPr>
        <w:t>האם להסמיך:</w:t>
      </w:r>
      <w:bookmarkStart w:id="0" w:name="_GoBack"/>
      <w:bookmarkEnd w:id="0"/>
    </w:p>
    <w:p w:rsidR="00EA0DAD" w:rsidRDefault="00EA0DAD" w:rsidP="00EA0DAD">
      <w:pPr>
        <w:pStyle w:val="NormalWeb"/>
        <w:bidi/>
        <w:spacing w:before="0" w:beforeAutospacing="0" w:after="200" w:afterAutospacing="0"/>
        <w:jc w:val="both"/>
        <w:rPr>
          <w:rFonts w:ascii="Calibri" w:hAnsi="Calibri" w:cs="Calibri" w:hint="cs"/>
          <w:color w:val="000000"/>
          <w:rtl/>
        </w:rPr>
      </w:pPr>
      <w:r>
        <w:rPr>
          <w:rFonts w:ascii="Calibri" w:hAnsi="Calibri" w:cs="Calibri" w:hint="cs"/>
          <w:color w:val="000000"/>
          <w:rtl/>
        </w:rPr>
        <w:t>-יש להסמיך את המעבדה הראשית ואת שיטות הבדיקה והדיגום בשטח ובדרך למעבדה. זוהי המלצת המבקר. אחרת עלולות להיות טעויות של בימ"ש וחשש לעיוות דין והרשעות שווא.</w:t>
      </w:r>
    </w:p>
    <w:p w:rsidR="00EA0DAD" w:rsidRDefault="00EA0DAD" w:rsidP="00EA0DAD">
      <w:pPr>
        <w:pStyle w:val="NormalWeb"/>
        <w:bidi/>
        <w:spacing w:before="0" w:beforeAutospacing="0" w:after="200" w:afterAutospacing="0"/>
        <w:jc w:val="both"/>
        <w:rPr>
          <w:rFonts w:ascii="Calibri" w:hAnsi="Calibri" w:cs="Calibri" w:hint="cs"/>
          <w:color w:val="000000"/>
          <w:rtl/>
        </w:rPr>
      </w:pPr>
      <w:r>
        <w:rPr>
          <w:rFonts w:ascii="Calibri" w:hAnsi="Calibri" w:cs="Calibri" w:hint="cs"/>
          <w:color w:val="000000"/>
          <w:rtl/>
        </w:rPr>
        <w:t>האם להסתפק בהסמכת מעבדות:</w:t>
      </w:r>
    </w:p>
    <w:p w:rsidR="00EA0DAD" w:rsidRDefault="00EA0DAD" w:rsidP="00EA0DAD">
      <w:pPr>
        <w:pStyle w:val="NormalWeb"/>
        <w:numPr>
          <w:ilvl w:val="0"/>
          <w:numId w:val="14"/>
        </w:numPr>
        <w:bidi/>
        <w:spacing w:before="0" w:beforeAutospacing="0" w:after="200" w:afterAutospacing="0"/>
        <w:jc w:val="both"/>
        <w:rPr>
          <w:rFonts w:ascii="Calibri" w:hAnsi="Calibri" w:cs="Calibri" w:hint="cs"/>
          <w:color w:val="000000"/>
        </w:rPr>
      </w:pPr>
      <w:r>
        <w:rPr>
          <w:rFonts w:ascii="Calibri" w:hAnsi="Calibri" w:cs="Calibri" w:hint="cs"/>
          <w:color w:val="000000"/>
          <w:rtl/>
        </w:rPr>
        <w:t>לא מספיק לתחום הפורנזי- נדרש תקן מחמיר יותר.</w:t>
      </w:r>
    </w:p>
    <w:p w:rsidR="00EA0DAD" w:rsidRDefault="00EA0DAD" w:rsidP="00EA0DAD">
      <w:pPr>
        <w:pStyle w:val="NormalWeb"/>
        <w:numPr>
          <w:ilvl w:val="0"/>
          <w:numId w:val="14"/>
        </w:numPr>
        <w:bidi/>
        <w:spacing w:before="0" w:beforeAutospacing="0" w:after="200" w:afterAutospacing="0"/>
        <w:jc w:val="both"/>
        <w:rPr>
          <w:rFonts w:ascii="Calibri" w:hAnsi="Calibri" w:cs="Calibri" w:hint="cs"/>
          <w:color w:val="000000"/>
        </w:rPr>
      </w:pPr>
      <w:r>
        <w:rPr>
          <w:rFonts w:ascii="Calibri" w:hAnsi="Calibri" w:cs="Calibri" w:hint="cs"/>
          <w:color w:val="000000"/>
          <w:rtl/>
        </w:rPr>
        <w:t>באנגליה הרגולטור קבע נהלים שהם מחמירים יותר מהמסכת מעבדות.</w:t>
      </w:r>
    </w:p>
    <w:p w:rsidR="00EA0DAD" w:rsidRDefault="00EA0DAD" w:rsidP="00EA0DAD">
      <w:pPr>
        <w:pStyle w:val="NormalWeb"/>
        <w:numPr>
          <w:ilvl w:val="0"/>
          <w:numId w:val="14"/>
        </w:numPr>
        <w:bidi/>
        <w:spacing w:before="0" w:beforeAutospacing="0" w:after="200" w:afterAutospacing="0"/>
        <w:jc w:val="both"/>
        <w:rPr>
          <w:rFonts w:ascii="Calibri" w:hAnsi="Calibri" w:cs="Calibri" w:hint="cs"/>
          <w:color w:val="000000"/>
        </w:rPr>
      </w:pPr>
      <w:r>
        <w:rPr>
          <w:rFonts w:ascii="Calibri" w:hAnsi="Calibri" w:cs="Calibri" w:hint="cs"/>
          <w:color w:val="000000"/>
          <w:rtl/>
        </w:rPr>
        <w:t>הסמכת מעבדות רק מוודאת שאתה עובד עפ"י הנוהל. היא לא בודקת האם הנוהל ראוי ומתקדם.</w:t>
      </w:r>
    </w:p>
    <w:p w:rsidR="00EA0DAD" w:rsidRDefault="00EA0DAD" w:rsidP="00EA0DAD">
      <w:pPr>
        <w:pStyle w:val="NormalWeb"/>
        <w:bidi/>
        <w:spacing w:before="0" w:beforeAutospacing="0" w:after="200" w:afterAutospacing="0"/>
        <w:jc w:val="both"/>
        <w:rPr>
          <w:rFonts w:ascii="Calibri" w:hAnsi="Calibri" w:cs="Calibri" w:hint="cs"/>
          <w:color w:val="000000"/>
          <w:rtl/>
        </w:rPr>
      </w:pPr>
    </w:p>
    <w:p w:rsidR="00EA0DAD" w:rsidRPr="00EA0DAD" w:rsidRDefault="00EA0DAD" w:rsidP="00EA0DAD">
      <w:pPr>
        <w:pStyle w:val="NormalWeb"/>
        <w:bidi/>
        <w:spacing w:before="0" w:beforeAutospacing="0" w:after="200" w:afterAutospacing="0"/>
        <w:jc w:val="both"/>
        <w:rPr>
          <w:rFonts w:ascii="Calibri" w:hAnsi="Calibri" w:cs="Calibri" w:hint="cs"/>
          <w:b/>
          <w:bCs/>
          <w:color w:val="000000"/>
          <w:u w:val="single"/>
          <w:rtl/>
        </w:rPr>
      </w:pPr>
      <w:r w:rsidRPr="00EA0DAD">
        <w:rPr>
          <w:rFonts w:ascii="Calibri" w:hAnsi="Calibri" w:cs="Calibri" w:hint="cs"/>
          <w:b/>
          <w:bCs/>
          <w:color w:val="000000"/>
          <w:u w:val="single"/>
          <w:rtl/>
        </w:rPr>
        <w:t xml:space="preserve">שאלה 2- </w:t>
      </w:r>
    </w:p>
    <w:p w:rsidR="00EA0DAD" w:rsidRDefault="00EA0DAD" w:rsidP="00EA0DAD">
      <w:pPr>
        <w:pStyle w:val="NormalWeb"/>
        <w:bidi/>
        <w:spacing w:before="0" w:beforeAutospacing="0" w:after="200" w:afterAutospacing="0"/>
        <w:jc w:val="both"/>
        <w:rPr>
          <w:rtl/>
        </w:rPr>
      </w:pPr>
      <w:r>
        <w:rPr>
          <w:rFonts w:ascii="Calibri" w:hAnsi="Calibri" w:cs="Calibri"/>
          <w:b/>
          <w:bCs/>
          <w:color w:val="000000"/>
          <w:u w:val="single"/>
          <w:rtl/>
        </w:rPr>
        <w:t xml:space="preserve">המלצות </w:t>
      </w:r>
      <w:proofErr w:type="spellStart"/>
      <w:r>
        <w:rPr>
          <w:rFonts w:ascii="Calibri" w:hAnsi="Calibri" w:cs="Calibri"/>
          <w:b/>
          <w:bCs/>
          <w:color w:val="000000"/>
          <w:u w:val="single"/>
        </w:rPr>
        <w:t>pcast</w:t>
      </w:r>
      <w:proofErr w:type="spellEnd"/>
      <w:r>
        <w:rPr>
          <w:rFonts w:ascii="Calibri" w:hAnsi="Calibri" w:cs="Calibri" w:hint="cs"/>
          <w:b/>
          <w:bCs/>
          <w:color w:val="000000"/>
          <w:u w:val="single"/>
          <w:rtl/>
        </w:rPr>
        <w:t xml:space="preserve"> </w:t>
      </w:r>
      <w:r>
        <w:rPr>
          <w:rFonts w:ascii="Calibri" w:hAnsi="Calibri" w:cs="Calibri"/>
          <w:b/>
          <w:bCs/>
          <w:color w:val="000000"/>
          <w:u w:val="single"/>
          <w:rtl/>
        </w:rPr>
        <w:t>ל-</w:t>
      </w:r>
      <w:r>
        <w:rPr>
          <w:rFonts w:ascii="Calibri" w:hAnsi="Calibri" w:cs="Calibri"/>
          <w:b/>
          <w:bCs/>
          <w:color w:val="000000"/>
          <w:u w:val="single"/>
        </w:rPr>
        <w:t>NIST</w:t>
      </w:r>
      <w:r>
        <w:rPr>
          <w:rFonts w:ascii="Calibri" w:hAnsi="Calibri" w:cs="Calibri"/>
          <w:b/>
          <w:bCs/>
          <w:color w:val="000000"/>
          <w:u w:val="single"/>
          <w:rtl/>
        </w:rPr>
        <w:t xml:space="preserve"> ו-</w:t>
      </w:r>
      <w:r>
        <w:rPr>
          <w:rFonts w:ascii="Calibri" w:hAnsi="Calibri" w:cs="Calibri"/>
          <w:b/>
          <w:bCs/>
          <w:color w:val="000000"/>
          <w:u w:val="single"/>
        </w:rPr>
        <w:t>OSTP</w:t>
      </w:r>
      <w:r>
        <w:rPr>
          <w:rFonts w:ascii="Calibri" w:hAnsi="Calibri" w:cs="Calibri"/>
          <w:b/>
          <w:bCs/>
          <w:color w:val="000000"/>
          <w:u w:val="single"/>
          <w:rtl/>
        </w:rPr>
        <w:t>:</w:t>
      </w:r>
    </w:p>
    <w:p w:rsidR="00EA0DAD" w:rsidRDefault="00EA0DAD" w:rsidP="00EA0DAD">
      <w:pPr>
        <w:pStyle w:val="NormalWeb"/>
        <w:numPr>
          <w:ilvl w:val="0"/>
          <w:numId w:val="1"/>
        </w:numPr>
        <w:bidi/>
        <w:spacing w:before="0" w:beforeAutospacing="0" w:after="0" w:afterAutospacing="0"/>
        <w:ind w:right="-360"/>
        <w:jc w:val="both"/>
        <w:textAlignment w:val="baseline"/>
        <w:rPr>
          <w:rFonts w:ascii="Calibri" w:hAnsi="Calibri" w:cs="Calibri"/>
          <w:color w:val="000000"/>
          <w:rtl/>
        </w:rPr>
      </w:pPr>
      <w:r>
        <w:rPr>
          <w:rFonts w:ascii="Calibri" w:hAnsi="Calibri" w:cs="Calibri"/>
          <w:b/>
          <w:bCs/>
          <w:color w:val="000000"/>
          <w:rtl/>
        </w:rPr>
        <w:t>הערכת התוקף היסודי (הפעולות הבאות ידרשו תקציב מהממשלה):</w:t>
      </w:r>
      <w:r>
        <w:rPr>
          <w:rFonts w:ascii="Calibri" w:hAnsi="Calibri" w:cs="Calibri"/>
          <w:color w:val="000000"/>
          <w:rtl/>
        </w:rPr>
        <w:t xml:space="preserve"> ביצוע ההערכות מדעיות לגבי בסיס התקפות (והמהימנות) של שיטות פורנזיות באופן שוטף. להבטחת שיפוט מדעי לא מוטה, ההערכות כאלו יעשו ע"י סוכנות חסרת אינטרס לגבי התוצאה. על ה-</w:t>
      </w:r>
      <w:r>
        <w:rPr>
          <w:rFonts w:ascii="Calibri" w:hAnsi="Calibri" w:cs="Calibri"/>
          <w:color w:val="000000"/>
        </w:rPr>
        <w:t>NIST</w:t>
      </w:r>
      <w:r>
        <w:rPr>
          <w:rFonts w:ascii="Calibri" w:hAnsi="Calibri" w:cs="Calibri"/>
          <w:color w:val="000000"/>
          <w:rtl/>
        </w:rPr>
        <w:t xml:space="preserve"> לפרסם בעקבות ההערכות הללו דוח שנתי לציבור בנוגע לתוקף שיטות ההשוואה הפורנזיות: </w:t>
      </w:r>
    </w:p>
    <w:p w:rsidR="00EA0DAD" w:rsidRDefault="00EA0DAD" w:rsidP="00EA0DAD">
      <w:pPr>
        <w:pStyle w:val="NormalWeb"/>
        <w:numPr>
          <w:ilvl w:val="0"/>
          <w:numId w:val="2"/>
        </w:numPr>
        <w:bidi/>
        <w:spacing w:before="0" w:beforeAutospacing="0" w:after="0" w:afterAutospacing="0"/>
        <w:ind w:right="360"/>
        <w:jc w:val="both"/>
        <w:textAlignment w:val="baseline"/>
        <w:rPr>
          <w:rFonts w:ascii="Arial" w:hAnsi="Arial" w:cs="Arial"/>
          <w:color w:val="000000"/>
          <w:rtl/>
        </w:rPr>
      </w:pPr>
      <w:r>
        <w:rPr>
          <w:rFonts w:ascii="Calibri" w:hAnsi="Calibri" w:cs="Calibri"/>
          <w:color w:val="000000"/>
          <w:rtl/>
        </w:rPr>
        <w:t>ההערכות יבדקו האם הוגדרה השיטה כנדרש, האם רמת הדיוק שלה נסמכת על עדויות אמפיריות והאם מתבססת על מחקרים (או לכל הפחות לפי קווים מנחים של אלו). </w:t>
      </w:r>
    </w:p>
    <w:p w:rsidR="00EA0DAD" w:rsidRDefault="00EA0DAD" w:rsidP="00EA0DAD">
      <w:pPr>
        <w:pStyle w:val="NormalWeb"/>
        <w:numPr>
          <w:ilvl w:val="0"/>
          <w:numId w:val="2"/>
        </w:numPr>
        <w:bidi/>
        <w:spacing w:before="0" w:beforeAutospacing="0" w:after="0" w:afterAutospacing="0"/>
        <w:ind w:right="360"/>
        <w:jc w:val="both"/>
        <w:textAlignment w:val="baseline"/>
        <w:rPr>
          <w:rFonts w:ascii="Arial" w:hAnsi="Arial" w:cs="Arial"/>
          <w:color w:val="000000"/>
          <w:rtl/>
        </w:rPr>
      </w:pPr>
      <w:r>
        <w:rPr>
          <w:rFonts w:ascii="Calibri" w:hAnsi="Calibri" w:cs="Calibri"/>
          <w:color w:val="000000"/>
          <w:rtl/>
        </w:rPr>
        <w:t>בעת קביעה ששיטה אינה תקפה, על ה-</w:t>
      </w:r>
      <w:r>
        <w:rPr>
          <w:rFonts w:ascii="Calibri" w:hAnsi="Calibri" w:cs="Calibri"/>
          <w:color w:val="000000"/>
        </w:rPr>
        <w:t>NIST</w:t>
      </w:r>
      <w:r>
        <w:rPr>
          <w:rFonts w:ascii="Calibri" w:hAnsi="Calibri" w:cs="Calibri"/>
          <w:color w:val="000000"/>
          <w:rtl/>
        </w:rPr>
        <w:t xml:space="preserve"> להציע דרכים ופעולות שעשויות להפוך השיטה לתקפה ומהימנה.</w:t>
      </w:r>
    </w:p>
    <w:p w:rsidR="00EA0DAD" w:rsidRDefault="00EA0DAD" w:rsidP="00EA0DAD">
      <w:pPr>
        <w:pStyle w:val="NormalWeb"/>
        <w:numPr>
          <w:ilvl w:val="0"/>
          <w:numId w:val="2"/>
        </w:numPr>
        <w:bidi/>
        <w:spacing w:before="0" w:beforeAutospacing="0" w:after="0" w:afterAutospacing="0"/>
        <w:ind w:right="360"/>
        <w:jc w:val="both"/>
        <w:textAlignment w:val="baseline"/>
        <w:rPr>
          <w:rFonts w:ascii="Arial" w:hAnsi="Arial" w:cs="Arial"/>
          <w:color w:val="000000"/>
          <w:rtl/>
        </w:rPr>
      </w:pPr>
      <w:r>
        <w:rPr>
          <w:rFonts w:ascii="Calibri" w:hAnsi="Calibri" w:cs="Calibri"/>
          <w:color w:val="000000"/>
          <w:rtl/>
        </w:rPr>
        <w:t>ל-</w:t>
      </w:r>
      <w:r>
        <w:rPr>
          <w:rFonts w:ascii="Calibri" w:hAnsi="Calibri" w:cs="Calibri"/>
          <w:color w:val="000000"/>
        </w:rPr>
        <w:t>NIST</w:t>
      </w:r>
      <w:r>
        <w:rPr>
          <w:rFonts w:ascii="Calibri" w:hAnsi="Calibri" w:cs="Calibri"/>
          <w:color w:val="000000"/>
          <w:rtl/>
        </w:rPr>
        <w:t xml:space="preserve"> לא צריכה להיות אחריות רגולטורית המתייחסת למדע פורנזי.</w:t>
      </w:r>
    </w:p>
    <w:p w:rsidR="00EA0DAD" w:rsidRDefault="00EA0DAD" w:rsidP="00EA0DAD">
      <w:pPr>
        <w:pStyle w:val="NormalWeb"/>
        <w:numPr>
          <w:ilvl w:val="0"/>
          <w:numId w:val="2"/>
        </w:numPr>
        <w:bidi/>
        <w:spacing w:before="0" w:beforeAutospacing="0" w:after="0" w:afterAutospacing="0"/>
        <w:ind w:right="360"/>
        <w:jc w:val="both"/>
        <w:textAlignment w:val="baseline"/>
        <w:rPr>
          <w:rFonts w:ascii="Arial" w:hAnsi="Arial" w:cs="Arial"/>
          <w:color w:val="000000"/>
          <w:rtl/>
        </w:rPr>
      </w:pPr>
      <w:r>
        <w:rPr>
          <w:rFonts w:ascii="Calibri" w:hAnsi="Calibri" w:cs="Calibri"/>
          <w:color w:val="000000"/>
          <w:rtl/>
        </w:rPr>
        <w:t xml:space="preserve">על </w:t>
      </w:r>
      <w:r>
        <w:rPr>
          <w:rFonts w:ascii="Calibri" w:hAnsi="Calibri" w:cs="Calibri"/>
          <w:color w:val="000000"/>
        </w:rPr>
        <w:t>NIST</w:t>
      </w:r>
      <w:r>
        <w:rPr>
          <w:rFonts w:ascii="Calibri" w:hAnsi="Calibri" w:cs="Calibri"/>
          <w:color w:val="000000"/>
          <w:rtl/>
        </w:rPr>
        <w:t>  לעודד כתבי עת מובילים הפועלים מחוץ לקהילה הפורנזית, לפתח מכניזם שיקדם ביקורת עמיתים קפדנית ופרסום מאמרים העוסקים בתוקף שיטות ההשוואה הפורנזיות.</w:t>
      </w:r>
    </w:p>
    <w:p w:rsidR="00EA0DAD" w:rsidRDefault="00EA0DAD" w:rsidP="00EA0DAD">
      <w:pPr>
        <w:pStyle w:val="NormalWeb"/>
        <w:numPr>
          <w:ilvl w:val="0"/>
          <w:numId w:val="3"/>
        </w:numPr>
        <w:bidi/>
        <w:spacing w:before="0" w:beforeAutospacing="0" w:after="0" w:afterAutospacing="0"/>
        <w:ind w:right="-360"/>
        <w:jc w:val="both"/>
        <w:textAlignment w:val="baseline"/>
        <w:rPr>
          <w:rFonts w:ascii="Calibri" w:hAnsi="Calibri" w:cs="Calibri"/>
          <w:color w:val="000000"/>
          <w:rtl/>
        </w:rPr>
      </w:pPr>
      <w:r>
        <w:rPr>
          <w:rFonts w:ascii="Calibri" w:hAnsi="Calibri" w:cs="Calibri"/>
          <w:b/>
          <w:bCs/>
          <w:color w:val="000000"/>
          <w:rtl/>
        </w:rPr>
        <w:t xml:space="preserve">פיתוח שיטות אובייקטיביות לניתוח דנ"א (תערובות מורכבות), ניתוח </w:t>
      </w:r>
      <w:proofErr w:type="spellStart"/>
      <w:r>
        <w:rPr>
          <w:rFonts w:ascii="Calibri" w:hAnsi="Calibri" w:cs="Calibri"/>
          <w:b/>
          <w:bCs/>
          <w:color w:val="000000"/>
          <w:rtl/>
        </w:rPr>
        <w:t>ט"א</w:t>
      </w:r>
      <w:proofErr w:type="spellEnd"/>
      <w:r>
        <w:rPr>
          <w:rFonts w:ascii="Calibri" w:hAnsi="Calibri" w:cs="Calibri"/>
          <w:b/>
          <w:bCs/>
          <w:color w:val="000000"/>
          <w:rtl/>
        </w:rPr>
        <w:t xml:space="preserve"> סמויות וניתוח כלי נשק: </w:t>
      </w:r>
      <w:r>
        <w:rPr>
          <w:rFonts w:ascii="Calibri" w:hAnsi="Calibri" w:cs="Calibri"/>
          <w:color w:val="000000"/>
          <w:rtl/>
        </w:rPr>
        <w:t>על ה-</w:t>
      </w:r>
      <w:r>
        <w:rPr>
          <w:rFonts w:ascii="Calibri" w:hAnsi="Calibri" w:cs="Calibri"/>
          <w:color w:val="000000"/>
        </w:rPr>
        <w:t>NIST</w:t>
      </w:r>
      <w:r>
        <w:rPr>
          <w:rFonts w:ascii="Calibri" w:hAnsi="Calibri" w:cs="Calibri"/>
          <w:color w:val="000000"/>
          <w:rtl/>
        </w:rPr>
        <w:t>, יחד עם מעבדת ה-</w:t>
      </w:r>
      <w:r>
        <w:rPr>
          <w:rFonts w:ascii="Calibri" w:hAnsi="Calibri" w:cs="Calibri"/>
          <w:color w:val="000000"/>
        </w:rPr>
        <w:t>FBI</w:t>
      </w:r>
      <w:r>
        <w:rPr>
          <w:rFonts w:ascii="Calibri" w:hAnsi="Calibri" w:cs="Calibri"/>
          <w:color w:val="000000"/>
          <w:rtl/>
        </w:rPr>
        <w:t>, המרכז הפורנזי של הסנגוריה, משרד המשפטים ועוד, להוביל הליך להפיכת 3 שיטות ההשוואה לעיל שכיום הן סובייקטיביות – לשיטות אובייקטיביות. ההליך יכלול יצירה והפצה של מערכי נתונים ואמצעי בדיקה ומתן חסות באמצעות תחרויות להערכת השיטות.</w:t>
      </w:r>
    </w:p>
    <w:p w:rsidR="00EA0DAD" w:rsidRDefault="00EA0DAD" w:rsidP="00EA0DAD">
      <w:pPr>
        <w:pStyle w:val="NormalWeb"/>
        <w:numPr>
          <w:ilvl w:val="0"/>
          <w:numId w:val="4"/>
        </w:numPr>
        <w:bidi/>
        <w:spacing w:before="0" w:beforeAutospacing="0" w:after="0" w:afterAutospacing="0"/>
        <w:ind w:right="-360"/>
        <w:jc w:val="both"/>
        <w:textAlignment w:val="baseline"/>
        <w:rPr>
          <w:rFonts w:ascii="Calibri" w:hAnsi="Calibri" w:cs="Calibri"/>
          <w:color w:val="000000"/>
          <w:rtl/>
        </w:rPr>
      </w:pPr>
      <w:r>
        <w:rPr>
          <w:rFonts w:ascii="Calibri" w:hAnsi="Calibri" w:cs="Calibri"/>
          <w:b/>
          <w:bCs/>
          <w:color w:val="000000"/>
          <w:rtl/>
        </w:rPr>
        <w:lastRenderedPageBreak/>
        <w:t>שיפור ההליך של ה-</w:t>
      </w:r>
      <w:r>
        <w:rPr>
          <w:rFonts w:ascii="Calibri" w:hAnsi="Calibri" w:cs="Calibri"/>
          <w:b/>
          <w:bCs/>
          <w:color w:val="000000"/>
        </w:rPr>
        <w:t>OSAC</w:t>
      </w:r>
      <w:r>
        <w:rPr>
          <w:rFonts w:ascii="Calibri" w:hAnsi="Calibri" w:cs="Calibri"/>
          <w:b/>
          <w:bCs/>
          <w:color w:val="000000"/>
          <w:rtl/>
        </w:rPr>
        <w:t xml:space="preserve"> (ארגון הוועדות המדעיות האזוריות): </w:t>
      </w:r>
      <w:r>
        <w:rPr>
          <w:rFonts w:ascii="Calibri" w:hAnsi="Calibri" w:cs="Calibri"/>
          <w:color w:val="000000"/>
          <w:rtl/>
        </w:rPr>
        <w:t>על ה-</w:t>
      </w:r>
      <w:r>
        <w:rPr>
          <w:rFonts w:ascii="Calibri" w:hAnsi="Calibri" w:cs="Calibri"/>
          <w:color w:val="000000"/>
        </w:rPr>
        <w:t>NIST</w:t>
      </w:r>
      <w:r>
        <w:rPr>
          <w:rFonts w:ascii="Calibri" w:hAnsi="Calibri" w:cs="Calibri"/>
          <w:color w:val="000000"/>
          <w:rtl/>
        </w:rPr>
        <w:t xml:space="preserve"> להקים ועדה למשאבי מטרולוגיה (שחבריה יהיו מדענים מחוץ לקהילה הפורנזית). על הועדה לבחון ולאשר (או לא) באופן פומבי את הסטנדרטים שהוצעו ע"י ה-</w:t>
      </w:r>
      <w:r>
        <w:rPr>
          <w:rFonts w:ascii="Calibri" w:hAnsi="Calibri" w:cs="Calibri"/>
          <w:color w:val="000000"/>
        </w:rPr>
        <w:t>SAC</w:t>
      </w:r>
      <w:r>
        <w:rPr>
          <w:rFonts w:ascii="Calibri" w:hAnsi="Calibri" w:cs="Calibri"/>
          <w:color w:val="000000"/>
          <w:rtl/>
        </w:rPr>
        <w:t>; ויש להבטיח שתכני התקנים וההנחיות של ה-</w:t>
      </w:r>
      <w:r>
        <w:rPr>
          <w:rFonts w:ascii="Calibri" w:hAnsi="Calibri" w:cs="Calibri"/>
          <w:color w:val="000000"/>
        </w:rPr>
        <w:t>OSAC</w:t>
      </w:r>
      <w:r>
        <w:rPr>
          <w:rFonts w:ascii="Calibri" w:hAnsi="Calibri" w:cs="Calibri"/>
          <w:color w:val="000000"/>
          <w:rtl/>
        </w:rPr>
        <w:t xml:space="preserve"> פומביים, בהתאם למדיניות  הזמינות הסבירה המופיעה בחוזרים של משרדים ומוסדות שונים.</w:t>
      </w:r>
    </w:p>
    <w:p w:rsidR="00EA0DAD" w:rsidRDefault="00EA0DAD" w:rsidP="00EA0DAD">
      <w:pPr>
        <w:pStyle w:val="NormalWeb"/>
        <w:numPr>
          <w:ilvl w:val="0"/>
          <w:numId w:val="5"/>
        </w:numPr>
        <w:bidi/>
        <w:spacing w:before="0" w:beforeAutospacing="0" w:after="200" w:afterAutospacing="0"/>
        <w:ind w:right="-360"/>
        <w:jc w:val="both"/>
        <w:textAlignment w:val="baseline"/>
        <w:rPr>
          <w:rFonts w:ascii="Calibri" w:hAnsi="Calibri" w:cs="Calibri"/>
          <w:color w:val="000000"/>
          <w:rtl/>
        </w:rPr>
      </w:pPr>
      <w:r>
        <w:rPr>
          <w:rFonts w:ascii="Calibri" w:hAnsi="Calibri" w:cs="Calibri"/>
          <w:b/>
          <w:bCs/>
          <w:color w:val="000000"/>
          <w:rtl/>
        </w:rPr>
        <w:t xml:space="preserve">אסטרטגיית מחקר ופיתוח במדע הפורנזי: </w:t>
      </w:r>
      <w:r>
        <w:rPr>
          <w:rFonts w:ascii="Calibri" w:hAnsi="Calibri" w:cs="Calibri"/>
          <w:color w:val="000000"/>
          <w:rtl/>
        </w:rPr>
        <w:t>על ה-</w:t>
      </w:r>
      <w:r>
        <w:rPr>
          <w:rFonts w:ascii="Calibri" w:hAnsi="Calibri" w:cs="Calibri"/>
          <w:color w:val="000000"/>
        </w:rPr>
        <w:t>OSTP</w:t>
      </w:r>
      <w:r>
        <w:rPr>
          <w:rFonts w:ascii="Calibri" w:hAnsi="Calibri" w:cs="Calibri"/>
          <w:color w:val="000000"/>
          <w:rtl/>
        </w:rPr>
        <w:t xml:space="preserve"> לתאם את יצירתה של אסטרטגיית המחקר והפיתוח הלאומית למדע פורנזי, שתיתן מענה לתכניות ולצרכי המימון עבור הרחבה וחיזוק של קהילת המחקר האקדמית, כולל הגדלת מימונה למחקר ולהכשרה; עבור מחקרים לקביעת תוקפן היסודי של שיטות השוואה ושיפור שיטות קיימות; פיתוח מסדי נתונים למחקר; גישור על הפער בין מדענים לבין בוחנים פורנזיים; פיקוח וסקירה קבועה של מחקר מדעי-פורנזי.</w:t>
      </w:r>
    </w:p>
    <w:p w:rsidR="00EA0DAD" w:rsidRDefault="00EA0DAD" w:rsidP="00EA0DAD">
      <w:pPr>
        <w:pStyle w:val="NormalWeb"/>
        <w:bidi/>
        <w:spacing w:before="0" w:beforeAutospacing="0" w:after="200" w:afterAutospacing="0"/>
        <w:jc w:val="both"/>
        <w:rPr>
          <w:rtl/>
        </w:rPr>
      </w:pPr>
      <w:r>
        <w:rPr>
          <w:rFonts w:ascii="Calibri" w:hAnsi="Calibri" w:cs="Calibri"/>
          <w:b/>
          <w:bCs/>
          <w:color w:val="000000"/>
          <w:u w:val="single"/>
          <w:rtl/>
        </w:rPr>
        <w:t>המלצות למעבדות ה-</w:t>
      </w:r>
      <w:r>
        <w:rPr>
          <w:rFonts w:ascii="Calibri" w:hAnsi="Calibri" w:cs="Calibri"/>
          <w:b/>
          <w:bCs/>
          <w:color w:val="000000"/>
          <w:u w:val="single"/>
        </w:rPr>
        <w:t>FBI</w:t>
      </w:r>
      <w:r>
        <w:rPr>
          <w:rFonts w:ascii="Calibri" w:hAnsi="Calibri" w:cs="Calibri"/>
          <w:b/>
          <w:bCs/>
          <w:color w:val="000000"/>
          <w:u w:val="single"/>
          <w:rtl/>
        </w:rPr>
        <w:t>:</w:t>
      </w:r>
    </w:p>
    <w:p w:rsidR="00EA0DAD" w:rsidRDefault="00EA0DAD" w:rsidP="00EA0DAD">
      <w:pPr>
        <w:pStyle w:val="NormalWeb"/>
        <w:numPr>
          <w:ilvl w:val="0"/>
          <w:numId w:val="6"/>
        </w:numPr>
        <w:bidi/>
        <w:spacing w:before="0" w:beforeAutospacing="0" w:after="0" w:afterAutospacing="0"/>
        <w:ind w:right="-360"/>
        <w:jc w:val="both"/>
        <w:textAlignment w:val="baseline"/>
        <w:rPr>
          <w:rFonts w:ascii="Calibri" w:hAnsi="Calibri" w:cs="Calibri"/>
          <w:color w:val="000000"/>
          <w:rtl/>
        </w:rPr>
      </w:pPr>
      <w:r>
        <w:rPr>
          <w:rFonts w:ascii="Calibri" w:hAnsi="Calibri" w:cs="Calibri"/>
          <w:b/>
          <w:bCs/>
          <w:color w:val="000000"/>
          <w:rtl/>
        </w:rPr>
        <w:t>סדר היום המורחב של מעבדות ה-</w:t>
      </w:r>
      <w:r>
        <w:rPr>
          <w:rFonts w:ascii="Calibri" w:hAnsi="Calibri" w:cs="Calibri"/>
          <w:b/>
          <w:bCs/>
          <w:color w:val="000000"/>
        </w:rPr>
        <w:t>FBI</w:t>
      </w:r>
      <w:r>
        <w:rPr>
          <w:rFonts w:ascii="Calibri" w:hAnsi="Calibri" w:cs="Calibri"/>
          <w:color w:val="000000"/>
          <w:rtl/>
        </w:rPr>
        <w:t>. על מעבדות ה-</w:t>
      </w:r>
      <w:r>
        <w:rPr>
          <w:rFonts w:ascii="Calibri" w:hAnsi="Calibri" w:cs="Calibri"/>
          <w:color w:val="000000"/>
        </w:rPr>
        <w:t>FBI</w:t>
      </w:r>
      <w:r>
        <w:rPr>
          <w:rFonts w:ascii="Calibri" w:hAnsi="Calibri" w:cs="Calibri"/>
          <w:color w:val="000000"/>
          <w:rtl/>
        </w:rPr>
        <w:t>: </w:t>
      </w:r>
    </w:p>
    <w:p w:rsidR="00EA0DAD" w:rsidRDefault="00EA0DAD" w:rsidP="00EA0DAD">
      <w:pPr>
        <w:pStyle w:val="NormalWeb"/>
        <w:numPr>
          <w:ilvl w:val="0"/>
          <w:numId w:val="7"/>
        </w:numPr>
        <w:bidi/>
        <w:spacing w:before="0" w:beforeAutospacing="0" w:after="0" w:afterAutospacing="0"/>
        <w:jc w:val="both"/>
        <w:textAlignment w:val="baseline"/>
        <w:rPr>
          <w:rFonts w:ascii="Calibri" w:hAnsi="Calibri" w:cs="Calibri"/>
          <w:b/>
          <w:bCs/>
          <w:color w:val="000000"/>
          <w:rtl/>
        </w:rPr>
      </w:pPr>
      <w:r>
        <w:rPr>
          <w:rFonts w:ascii="Calibri" w:hAnsi="Calibri" w:cs="Calibri"/>
          <w:color w:val="000000"/>
          <w:rtl/>
        </w:rPr>
        <w:t>להוציא לפועל תכנית מחקר לשיפור המדע הפורנזי. התכנית תכלול: ביצוע מחקרים על אמינותן של שיטות ההשוואה, תוך שילוב צדדים שלישיים חסרי עניין בתוצאה; פיתוח גישות חדשות לשיפור האמינות של שיטות הבדיקה; הרחבת התכניות המשותפות עם מדענים חיצוניים, תוך הבטחת יכולתם להשיג גישה למאגרי הנתונים והדגימות.</w:t>
      </w:r>
    </w:p>
    <w:p w:rsidR="00EA0DAD" w:rsidRDefault="00EA0DAD" w:rsidP="00EA0DAD">
      <w:pPr>
        <w:pStyle w:val="NormalWeb"/>
        <w:numPr>
          <w:ilvl w:val="0"/>
          <w:numId w:val="7"/>
        </w:numPr>
        <w:bidi/>
        <w:spacing w:before="0" w:beforeAutospacing="0" w:after="0" w:afterAutospacing="0"/>
        <w:jc w:val="both"/>
        <w:textAlignment w:val="baseline"/>
        <w:rPr>
          <w:rFonts w:ascii="Calibri" w:hAnsi="Calibri" w:cs="Calibri"/>
          <w:b/>
          <w:bCs/>
          <w:color w:val="000000"/>
          <w:rtl/>
        </w:rPr>
      </w:pPr>
      <w:r>
        <w:rPr>
          <w:rFonts w:ascii="Calibri" w:hAnsi="Calibri" w:cs="Calibri"/>
          <w:color w:val="000000"/>
          <w:rtl/>
        </w:rPr>
        <w:t xml:space="preserve">לסייע בתכנון ובביצוע של מחקרי </w:t>
      </w:r>
      <w:r>
        <w:rPr>
          <w:rFonts w:ascii="Calibri" w:hAnsi="Calibri" w:cs="Calibri"/>
          <w:color w:val="000000"/>
        </w:rPr>
        <w:t>Black-Box</w:t>
      </w:r>
      <w:r>
        <w:rPr>
          <w:rFonts w:ascii="Calibri" w:hAnsi="Calibri" w:cs="Calibri"/>
          <w:color w:val="000000"/>
          <w:rtl/>
        </w:rPr>
        <w:t xml:space="preserve"> נוספים לשיטות סובייקטיביות, ע"י צדדים שלישיים ועצמאיים או בשת"פ איתם (שהם חסרי עניין בתוצאה). </w:t>
      </w:r>
    </w:p>
    <w:p w:rsidR="00EA0DAD" w:rsidRDefault="00EA0DAD" w:rsidP="00EA0DAD">
      <w:pPr>
        <w:pStyle w:val="NormalWeb"/>
        <w:numPr>
          <w:ilvl w:val="0"/>
          <w:numId w:val="7"/>
        </w:numPr>
        <w:bidi/>
        <w:spacing w:before="0" w:beforeAutospacing="0" w:after="0" w:afterAutospacing="0"/>
        <w:jc w:val="both"/>
        <w:textAlignment w:val="baseline"/>
        <w:rPr>
          <w:rFonts w:ascii="Calibri" w:hAnsi="Calibri" w:cs="Calibri"/>
          <w:b/>
          <w:bCs/>
          <w:color w:val="000000"/>
          <w:rtl/>
        </w:rPr>
      </w:pPr>
      <w:r>
        <w:rPr>
          <w:rFonts w:ascii="Calibri" w:hAnsi="Calibri" w:cs="Calibri"/>
          <w:color w:val="000000"/>
          <w:rtl/>
        </w:rPr>
        <w:t>לעבוד עם ה-</w:t>
      </w:r>
      <w:r>
        <w:rPr>
          <w:rFonts w:ascii="Calibri" w:hAnsi="Calibri" w:cs="Calibri"/>
          <w:color w:val="000000"/>
        </w:rPr>
        <w:t>NIST</w:t>
      </w:r>
      <w:r>
        <w:rPr>
          <w:rFonts w:ascii="Calibri" w:hAnsi="Calibri" w:cs="Calibri"/>
          <w:color w:val="000000"/>
          <w:rtl/>
        </w:rPr>
        <w:t xml:space="preserve"> להפיכת 3 שיטות השוואה סובייקטיביות, לאובייקטיביות (לעיל נק' 2 בהמלצות ל-</w:t>
      </w:r>
      <w:r>
        <w:rPr>
          <w:rFonts w:ascii="Calibri" w:hAnsi="Calibri" w:cs="Calibri"/>
          <w:color w:val="000000"/>
        </w:rPr>
        <w:t>NIST</w:t>
      </w:r>
      <w:r>
        <w:rPr>
          <w:rFonts w:ascii="Calibri" w:hAnsi="Calibri" w:cs="Calibri"/>
          <w:color w:val="000000"/>
          <w:rtl/>
        </w:rPr>
        <w:t>).</w:t>
      </w:r>
    </w:p>
    <w:p w:rsidR="00EA0DAD" w:rsidRDefault="00EA0DAD" w:rsidP="00EA0DAD">
      <w:pPr>
        <w:pStyle w:val="NormalWeb"/>
        <w:numPr>
          <w:ilvl w:val="0"/>
          <w:numId w:val="7"/>
        </w:numPr>
        <w:bidi/>
        <w:spacing w:before="0" w:beforeAutospacing="0" w:after="0" w:afterAutospacing="0"/>
        <w:jc w:val="both"/>
        <w:textAlignment w:val="baseline"/>
        <w:rPr>
          <w:rFonts w:ascii="Calibri" w:hAnsi="Calibri" w:cs="Calibri"/>
          <w:b/>
          <w:bCs/>
          <w:color w:val="000000"/>
          <w:rtl/>
        </w:rPr>
      </w:pPr>
      <w:r>
        <w:rPr>
          <w:rFonts w:ascii="Calibri" w:hAnsi="Calibri" w:cs="Calibri"/>
          <w:color w:val="000000"/>
          <w:rtl/>
        </w:rPr>
        <w:t> להקפיד על ביצוע בדיקות מיומנות באמצעות  מיסוד שגרה של בדיקות עיוורות במהלך 4 השנים הבאות ולעזור למעבדות פדרליות אחרות לעשות זאת גם כן.</w:t>
      </w:r>
    </w:p>
    <w:p w:rsidR="00EA0DAD" w:rsidRDefault="00EA0DAD" w:rsidP="00EA0DAD">
      <w:pPr>
        <w:pStyle w:val="NormalWeb"/>
        <w:numPr>
          <w:ilvl w:val="0"/>
          <w:numId w:val="7"/>
        </w:numPr>
        <w:bidi/>
        <w:spacing w:before="0" w:beforeAutospacing="0" w:after="0" w:afterAutospacing="0"/>
        <w:jc w:val="both"/>
        <w:textAlignment w:val="baseline"/>
        <w:rPr>
          <w:rFonts w:ascii="Calibri" w:hAnsi="Calibri" w:cs="Calibri"/>
          <w:b/>
          <w:bCs/>
          <w:color w:val="000000"/>
          <w:rtl/>
        </w:rPr>
      </w:pPr>
      <w:r>
        <w:rPr>
          <w:rFonts w:ascii="Calibri" w:hAnsi="Calibri" w:cs="Calibri"/>
          <w:color w:val="000000"/>
          <w:rtl/>
        </w:rPr>
        <w:t xml:space="preserve">לקדם ולאמץ (בכל המעבדות המבצעות ניתוח </w:t>
      </w:r>
      <w:proofErr w:type="spellStart"/>
      <w:r>
        <w:rPr>
          <w:rFonts w:ascii="Calibri" w:hAnsi="Calibri" w:cs="Calibri"/>
          <w:color w:val="000000"/>
          <w:rtl/>
        </w:rPr>
        <w:t>ט"א</w:t>
      </w:r>
      <w:proofErr w:type="spellEnd"/>
      <w:r>
        <w:rPr>
          <w:rFonts w:ascii="Calibri" w:hAnsi="Calibri" w:cs="Calibri"/>
          <w:color w:val="000000"/>
          <w:rtl/>
        </w:rPr>
        <w:t xml:space="preserve">) כללים המחייבים הליך של "ניתוח ליניארי, השוואתי והערכתי", לפיו הבוחנים צריכים להשלים ולתעד את הניתוח שביצעו, לפני שהסתכלו על </w:t>
      </w:r>
      <w:proofErr w:type="spellStart"/>
      <w:r>
        <w:rPr>
          <w:rFonts w:ascii="Calibri" w:hAnsi="Calibri" w:cs="Calibri"/>
          <w:color w:val="000000"/>
          <w:rtl/>
        </w:rPr>
        <w:t>ט"א</w:t>
      </w:r>
      <w:proofErr w:type="spellEnd"/>
      <w:r>
        <w:rPr>
          <w:rFonts w:ascii="Calibri" w:hAnsi="Calibri" w:cs="Calibri"/>
          <w:color w:val="000000"/>
          <w:rtl/>
        </w:rPr>
        <w:t xml:space="preserve"> ידועות, ועליהם לתעד בנפרד את כל הנתונים המשמשים להליך ההשוואה והערכה.</w:t>
      </w:r>
    </w:p>
    <w:p w:rsidR="00EA0DAD" w:rsidRDefault="00EA0DAD" w:rsidP="00EA0DAD">
      <w:pPr>
        <w:pStyle w:val="NormalWeb"/>
        <w:numPr>
          <w:ilvl w:val="0"/>
          <w:numId w:val="7"/>
        </w:numPr>
        <w:bidi/>
        <w:spacing w:before="0" w:beforeAutospacing="0" w:after="0" w:afterAutospacing="0"/>
        <w:jc w:val="both"/>
        <w:textAlignment w:val="baseline"/>
        <w:rPr>
          <w:rFonts w:ascii="Calibri" w:hAnsi="Calibri" w:cs="Calibri"/>
          <w:b/>
          <w:bCs/>
          <w:color w:val="000000"/>
          <w:rtl/>
        </w:rPr>
      </w:pPr>
      <w:r>
        <w:rPr>
          <w:rFonts w:ascii="Calibri" w:hAnsi="Calibri" w:cs="Calibri"/>
          <w:color w:val="000000"/>
          <w:rtl/>
        </w:rPr>
        <w:t>על מעבדות ה-</w:t>
      </w:r>
      <w:r>
        <w:rPr>
          <w:rFonts w:ascii="Calibri" w:hAnsi="Calibri" w:cs="Calibri"/>
          <w:color w:val="000000"/>
        </w:rPr>
        <w:t>FBI</w:t>
      </w:r>
      <w:r>
        <w:rPr>
          <w:rFonts w:ascii="Calibri" w:hAnsi="Calibri" w:cs="Calibri"/>
          <w:color w:val="000000"/>
          <w:rtl/>
        </w:rPr>
        <w:t xml:space="preserve"> לדווח על בעיות איכות במהלך עבודתה באופן קבוע ופומבי.</w:t>
      </w:r>
    </w:p>
    <w:p w:rsidR="00EA0DAD" w:rsidRDefault="00EA0DAD" w:rsidP="00EA0DAD">
      <w:pPr>
        <w:pStyle w:val="NormalWeb"/>
        <w:numPr>
          <w:ilvl w:val="0"/>
          <w:numId w:val="7"/>
        </w:numPr>
        <w:bidi/>
        <w:spacing w:before="0" w:beforeAutospacing="0" w:after="200" w:afterAutospacing="0"/>
        <w:jc w:val="both"/>
        <w:textAlignment w:val="baseline"/>
        <w:rPr>
          <w:rFonts w:ascii="Calibri" w:hAnsi="Calibri" w:cs="Calibri"/>
          <w:b/>
          <w:bCs/>
          <w:color w:val="000000"/>
          <w:rtl/>
        </w:rPr>
      </w:pPr>
      <w:r>
        <w:rPr>
          <w:rFonts w:ascii="Calibri" w:hAnsi="Calibri" w:cs="Calibri"/>
          <w:color w:val="000000"/>
          <w:rtl/>
        </w:rPr>
        <w:t>הנשיא יבקש והקונגרס יאשר את הגדלת התקציב לפעילות מעבדות ה-</w:t>
      </w:r>
      <w:r>
        <w:rPr>
          <w:rFonts w:ascii="Calibri" w:hAnsi="Calibri" w:cs="Calibri"/>
          <w:color w:val="000000"/>
        </w:rPr>
        <w:t>FBI</w:t>
      </w:r>
      <w:r>
        <w:rPr>
          <w:rFonts w:ascii="Calibri" w:hAnsi="Calibri" w:cs="Calibri"/>
          <w:color w:val="000000"/>
          <w:rtl/>
        </w:rPr>
        <w:t xml:space="preserve"> ונדרש להעריך את הצורך בהגדלת התקציב לפעילויות מחקר פורנזי במחלקת המשפטים.</w:t>
      </w:r>
    </w:p>
    <w:p w:rsidR="00EA0DAD" w:rsidRDefault="00EA0DAD" w:rsidP="00EA0DAD">
      <w:pPr>
        <w:pStyle w:val="NormalWeb"/>
        <w:bidi/>
        <w:spacing w:before="0" w:beforeAutospacing="0" w:after="200" w:afterAutospacing="0"/>
        <w:jc w:val="both"/>
        <w:rPr>
          <w:rtl/>
        </w:rPr>
      </w:pPr>
      <w:r>
        <w:rPr>
          <w:rFonts w:ascii="Calibri" w:hAnsi="Calibri" w:cs="Calibri"/>
          <w:b/>
          <w:bCs/>
          <w:color w:val="000000"/>
          <w:u w:val="single"/>
          <w:rtl/>
        </w:rPr>
        <w:t>המלצות לתובע הכללי: </w:t>
      </w:r>
    </w:p>
    <w:p w:rsidR="00EA0DAD" w:rsidRDefault="00EA0DAD" w:rsidP="00EA0DAD">
      <w:pPr>
        <w:pStyle w:val="NormalWeb"/>
        <w:numPr>
          <w:ilvl w:val="0"/>
          <w:numId w:val="8"/>
        </w:numPr>
        <w:bidi/>
        <w:spacing w:before="0" w:beforeAutospacing="0" w:after="0" w:afterAutospacing="0"/>
        <w:ind w:right="-360"/>
        <w:jc w:val="both"/>
        <w:textAlignment w:val="baseline"/>
        <w:rPr>
          <w:rFonts w:ascii="Calibri" w:hAnsi="Calibri" w:cs="Calibri"/>
          <w:b/>
          <w:bCs/>
          <w:color w:val="000000"/>
          <w:rtl/>
        </w:rPr>
      </w:pPr>
      <w:r>
        <w:rPr>
          <w:rFonts w:ascii="Calibri" w:hAnsi="Calibri" w:cs="Calibri"/>
          <w:b/>
          <w:bCs/>
          <w:color w:val="000000"/>
          <w:rtl/>
        </w:rPr>
        <w:t>שימוש בשיטות השוואה בהליך הפדרלי של ההעמדה לדין.</w:t>
      </w:r>
    </w:p>
    <w:p w:rsidR="00EA0DAD" w:rsidRDefault="00EA0DAD" w:rsidP="00EA0DAD">
      <w:pPr>
        <w:pStyle w:val="NormalWeb"/>
        <w:numPr>
          <w:ilvl w:val="0"/>
          <w:numId w:val="9"/>
        </w:numPr>
        <w:bidi/>
        <w:spacing w:before="0" w:beforeAutospacing="0" w:after="0" w:afterAutospacing="0"/>
        <w:ind w:right="-360"/>
        <w:jc w:val="both"/>
        <w:textAlignment w:val="baseline"/>
        <w:rPr>
          <w:rFonts w:ascii="Calibri" w:hAnsi="Calibri" w:cs="Calibri"/>
          <w:color w:val="000000"/>
          <w:rtl/>
        </w:rPr>
      </w:pPr>
      <w:r>
        <w:rPr>
          <w:rFonts w:ascii="Calibri" w:hAnsi="Calibri" w:cs="Calibri"/>
          <w:color w:val="000000"/>
          <w:rtl/>
        </w:rPr>
        <w:t> על היועמ"ש להפנות עורכי דין מטעם ה-</w:t>
      </w:r>
      <w:r>
        <w:rPr>
          <w:rFonts w:ascii="Calibri" w:hAnsi="Calibri" w:cs="Calibri"/>
          <w:color w:val="000000"/>
        </w:rPr>
        <w:t>DOJ</w:t>
      </w:r>
      <w:r>
        <w:rPr>
          <w:rFonts w:ascii="Calibri" w:hAnsi="Calibri" w:cs="Calibri"/>
          <w:color w:val="000000"/>
          <w:rtl/>
        </w:rPr>
        <w:t xml:space="preserve"> להבטחת עדות מומחה בביהמ"ש בנושא שיטות השוואה פורנזיות. על </w:t>
      </w:r>
      <w:proofErr w:type="spellStart"/>
      <w:r>
        <w:rPr>
          <w:rFonts w:ascii="Calibri" w:hAnsi="Calibri" w:cs="Calibri"/>
          <w:color w:val="000000"/>
          <w:rtl/>
        </w:rPr>
        <w:t>העו"ד</w:t>
      </w:r>
      <w:proofErr w:type="spellEnd"/>
      <w:r>
        <w:rPr>
          <w:rFonts w:ascii="Calibri" w:hAnsi="Calibri" w:cs="Calibri"/>
          <w:color w:val="000000"/>
          <w:rtl/>
        </w:rPr>
        <w:t xml:space="preserve"> לוודא ששיטות ההשוואה המבוססות על עדות נקבעו כתקפות ברמת דיוק המתאימה ליישומן, כפי שמוצג ע"י מחקרים ובהתאמה </w:t>
      </w:r>
      <w:proofErr w:type="spellStart"/>
      <w:r>
        <w:rPr>
          <w:rFonts w:ascii="Calibri" w:hAnsi="Calibri" w:cs="Calibri"/>
          <w:color w:val="000000"/>
          <w:rtl/>
        </w:rPr>
        <w:t>לההערכה</w:t>
      </w:r>
      <w:proofErr w:type="spellEnd"/>
      <w:r>
        <w:rPr>
          <w:rFonts w:ascii="Calibri" w:hAnsi="Calibri" w:cs="Calibri"/>
          <w:color w:val="000000"/>
          <w:rtl/>
        </w:rPr>
        <w:t xml:space="preserve"> שבוצעה ע"י ה-</w:t>
      </w:r>
      <w:r>
        <w:rPr>
          <w:rFonts w:ascii="Calibri" w:hAnsi="Calibri" w:cs="Calibri"/>
          <w:color w:val="000000"/>
        </w:rPr>
        <w:t>NIST</w:t>
      </w:r>
      <w:r>
        <w:rPr>
          <w:rFonts w:ascii="Calibri" w:hAnsi="Calibri" w:cs="Calibri"/>
          <w:color w:val="000000"/>
          <w:rtl/>
        </w:rPr>
        <w:t xml:space="preserve"> ף העדות תקפה מדעית ושהערך הראייתי של הזיהוי מבוסס מדעית ואינו מרמז על מידת ודאות גבוהה יותר.</w:t>
      </w:r>
    </w:p>
    <w:p w:rsidR="00EA0DAD" w:rsidRDefault="00EA0DAD" w:rsidP="00EA0DAD">
      <w:pPr>
        <w:pStyle w:val="NormalWeb"/>
        <w:numPr>
          <w:ilvl w:val="0"/>
          <w:numId w:val="9"/>
        </w:numPr>
        <w:bidi/>
        <w:spacing w:before="0" w:beforeAutospacing="0" w:after="0" w:afterAutospacing="0"/>
        <w:ind w:right="-360"/>
        <w:jc w:val="both"/>
        <w:textAlignment w:val="baseline"/>
        <w:rPr>
          <w:rFonts w:ascii="Calibri" w:hAnsi="Calibri" w:cs="Calibri"/>
          <w:color w:val="000000"/>
          <w:rtl/>
        </w:rPr>
      </w:pPr>
      <w:r>
        <w:rPr>
          <w:rFonts w:ascii="Calibri" w:hAnsi="Calibri" w:cs="Calibri"/>
          <w:color w:val="000000"/>
          <w:rtl/>
        </w:rPr>
        <w:t>על ה-</w:t>
      </w:r>
      <w:r>
        <w:rPr>
          <w:rFonts w:ascii="Calibri" w:hAnsi="Calibri" w:cs="Calibri"/>
          <w:color w:val="000000"/>
        </w:rPr>
        <w:t>DOJ</w:t>
      </w:r>
      <w:r>
        <w:rPr>
          <w:rFonts w:ascii="Calibri" w:hAnsi="Calibri" w:cs="Calibri"/>
          <w:color w:val="000000"/>
          <w:rtl/>
        </w:rPr>
        <w:t>, בסיוע ה-</w:t>
      </w:r>
      <w:r>
        <w:rPr>
          <w:rFonts w:ascii="Calibri" w:hAnsi="Calibri" w:cs="Calibri"/>
          <w:color w:val="000000"/>
        </w:rPr>
        <w:t>NIST</w:t>
      </w:r>
      <w:r>
        <w:rPr>
          <w:rFonts w:ascii="Calibri" w:hAnsi="Calibri" w:cs="Calibri"/>
          <w:color w:val="000000"/>
          <w:rtl/>
        </w:rPr>
        <w:t>, לבצע סקירה ראשונית של שיטות השוואה סובייקטיביות המשומשות על ידו (מעבר לאלו המוצגות ב</w:t>
      </w:r>
      <w:r>
        <w:rPr>
          <w:rFonts w:ascii="Calibri" w:hAnsi="Calibri" w:cs="Calibri"/>
          <w:color w:val="000000"/>
        </w:rPr>
        <w:t>PCAST</w:t>
      </w:r>
      <w:r>
        <w:rPr>
          <w:rFonts w:ascii="Calibri" w:hAnsi="Calibri" w:cs="Calibri"/>
          <w:color w:val="000000"/>
          <w:rtl/>
        </w:rPr>
        <w:t xml:space="preserve">), להן חסרים מחקרי </w:t>
      </w:r>
      <w:r>
        <w:rPr>
          <w:rFonts w:ascii="Calibri" w:hAnsi="Calibri" w:cs="Calibri"/>
          <w:color w:val="000000"/>
        </w:rPr>
        <w:t>black-box</w:t>
      </w:r>
      <w:r>
        <w:rPr>
          <w:rFonts w:ascii="Calibri" w:hAnsi="Calibri" w:cs="Calibri"/>
          <w:color w:val="000000"/>
          <w:rtl/>
        </w:rPr>
        <w:t xml:space="preserve"> להערכת מהימנותן. על ה-</w:t>
      </w:r>
      <w:r>
        <w:rPr>
          <w:rFonts w:ascii="Calibri" w:hAnsi="Calibri" w:cs="Calibri"/>
          <w:color w:val="000000"/>
        </w:rPr>
        <w:t>DOJ</w:t>
      </w:r>
      <w:r>
        <w:rPr>
          <w:rFonts w:ascii="Calibri" w:hAnsi="Calibri" w:cs="Calibri"/>
          <w:color w:val="000000"/>
          <w:rtl/>
        </w:rPr>
        <w:t xml:space="preserve"> להעריך האם ראוי שאותן שיטות סובייקטיביות יוצגו בביהמ"ש ויעודד מחקרי </w:t>
      </w:r>
      <w:r>
        <w:rPr>
          <w:rFonts w:ascii="Calibri" w:hAnsi="Calibri" w:cs="Calibri"/>
          <w:color w:val="000000"/>
        </w:rPr>
        <w:t>black box</w:t>
      </w:r>
      <w:r>
        <w:rPr>
          <w:rFonts w:ascii="Calibri" w:hAnsi="Calibri" w:cs="Calibri"/>
          <w:color w:val="000000"/>
          <w:rtl/>
        </w:rPr>
        <w:t xml:space="preserve"> לשיטות שטרם נקבעה תקפותן, שתכנונם וביצועם יעשו ע"י צדדים שלישיים.  </w:t>
      </w:r>
    </w:p>
    <w:p w:rsidR="00EA0DAD" w:rsidRDefault="00EA0DAD" w:rsidP="00EA0DAD">
      <w:pPr>
        <w:pStyle w:val="NormalWeb"/>
        <w:numPr>
          <w:ilvl w:val="0"/>
          <w:numId w:val="10"/>
        </w:numPr>
        <w:bidi/>
        <w:spacing w:before="0" w:beforeAutospacing="0" w:after="0" w:afterAutospacing="0"/>
        <w:ind w:right="-360"/>
        <w:jc w:val="both"/>
        <w:textAlignment w:val="baseline"/>
        <w:rPr>
          <w:rFonts w:ascii="Calibri" w:hAnsi="Calibri" w:cs="Calibri"/>
          <w:b/>
          <w:bCs/>
          <w:color w:val="000000"/>
          <w:rtl/>
        </w:rPr>
      </w:pPr>
      <w:r>
        <w:rPr>
          <w:rFonts w:ascii="Calibri" w:hAnsi="Calibri" w:cs="Calibri"/>
          <w:b/>
          <w:bCs/>
          <w:color w:val="000000"/>
          <w:rtl/>
        </w:rPr>
        <w:t>הנחיות "עדים מומחים" של ה-</w:t>
      </w:r>
      <w:r>
        <w:rPr>
          <w:rFonts w:ascii="Calibri" w:hAnsi="Calibri" w:cs="Calibri"/>
          <w:b/>
          <w:bCs/>
          <w:color w:val="000000"/>
        </w:rPr>
        <w:t>DOJ</w:t>
      </w:r>
      <w:r>
        <w:rPr>
          <w:rFonts w:ascii="Calibri" w:hAnsi="Calibri" w:cs="Calibri"/>
          <w:b/>
          <w:bCs/>
          <w:color w:val="000000"/>
          <w:rtl/>
        </w:rPr>
        <w:t>: </w:t>
      </w:r>
    </w:p>
    <w:p w:rsidR="00EA0DAD" w:rsidRDefault="00EA0DAD" w:rsidP="00EA0DAD">
      <w:pPr>
        <w:pStyle w:val="NormalWeb"/>
        <w:numPr>
          <w:ilvl w:val="0"/>
          <w:numId w:val="11"/>
        </w:numPr>
        <w:bidi/>
        <w:spacing w:before="0" w:beforeAutospacing="0" w:after="0" w:afterAutospacing="0"/>
        <w:ind w:right="-360"/>
        <w:jc w:val="both"/>
        <w:textAlignment w:val="baseline"/>
        <w:rPr>
          <w:rFonts w:ascii="Calibri" w:hAnsi="Calibri" w:cs="Calibri"/>
          <w:color w:val="000000"/>
          <w:rtl/>
        </w:rPr>
      </w:pPr>
      <w:r>
        <w:rPr>
          <w:rFonts w:ascii="Calibri" w:hAnsi="Calibri" w:cs="Calibri"/>
          <w:color w:val="000000"/>
          <w:rtl/>
        </w:rPr>
        <w:t> על היועמ"ש לבחון ולפרסם מחדש לציבור את "השפה האחידה לעדות ודוחות" של ה-</w:t>
      </w:r>
      <w:r>
        <w:rPr>
          <w:rFonts w:ascii="Calibri" w:hAnsi="Calibri" w:cs="Calibri"/>
          <w:color w:val="000000"/>
        </w:rPr>
        <w:t>DOJ</w:t>
      </w:r>
      <w:r>
        <w:rPr>
          <w:rFonts w:ascii="Calibri" w:hAnsi="Calibri" w:cs="Calibri"/>
          <w:color w:val="000000"/>
          <w:rtl/>
        </w:rPr>
        <w:t xml:space="preserve"> ומסמכים תומכים ע"מ להתאימם לתקנים מדעיים לתוקף מדעי.</w:t>
      </w:r>
    </w:p>
    <w:p w:rsidR="00EA0DAD" w:rsidRDefault="00EA0DAD" w:rsidP="00EA0DAD">
      <w:pPr>
        <w:pStyle w:val="NormalWeb"/>
        <w:numPr>
          <w:ilvl w:val="0"/>
          <w:numId w:val="11"/>
        </w:numPr>
        <w:bidi/>
        <w:spacing w:before="0" w:beforeAutospacing="0" w:after="200" w:afterAutospacing="0"/>
        <w:ind w:right="-360"/>
        <w:jc w:val="both"/>
        <w:textAlignment w:val="baseline"/>
        <w:rPr>
          <w:rFonts w:ascii="Calibri" w:hAnsi="Calibri" w:cs="Calibri"/>
          <w:color w:val="000000"/>
          <w:rtl/>
        </w:rPr>
      </w:pPr>
      <w:r>
        <w:rPr>
          <w:rFonts w:ascii="Calibri" w:hAnsi="Calibri" w:cs="Calibri"/>
          <w:color w:val="000000"/>
          <w:rtl/>
        </w:rPr>
        <w:lastRenderedPageBreak/>
        <w:t>על התובע הכללי להוציא הוראות מנחות: במקום שקיימים מחקרים/ מודלים סטטיסטיים המבהירים את רמת הדיוק של שיטת השוואה, על הבוחן לספק מידע על שיעור השגיאות. במידה ומחקרים/מודלים כאמור אינם בנמצא, פרקליטי ה-</w:t>
      </w:r>
      <w:r>
        <w:rPr>
          <w:rFonts w:ascii="Calibri" w:hAnsi="Calibri" w:cs="Calibri"/>
          <w:color w:val="000000"/>
        </w:rPr>
        <w:t>DOJ</w:t>
      </w:r>
      <w:r>
        <w:rPr>
          <w:rFonts w:ascii="Calibri" w:hAnsi="Calibri" w:cs="Calibri"/>
          <w:color w:val="000000"/>
          <w:rtl/>
        </w:rPr>
        <w:t xml:space="preserve"> והבוחנים אינם צריכים להביא עדות הנשענת על כך. לחלופין, אם נדרש, ליידע את ביהמ"ש על היעדר מידע כאמור על השיטה ומכאן גם על הפגם בראייה; במתן עדות, על בוחנים להצהיר במפורש שעשויות להיות טעויות בבדיקה עקב דמיון בתכונות ועקב טעויות אנוש במעבדה.</w:t>
      </w:r>
    </w:p>
    <w:p w:rsidR="00EA0DAD" w:rsidRDefault="00EA0DAD" w:rsidP="00EA0DAD">
      <w:pPr>
        <w:pStyle w:val="NormalWeb"/>
        <w:bidi/>
        <w:spacing w:before="0" w:beforeAutospacing="0" w:after="200" w:afterAutospacing="0"/>
        <w:jc w:val="both"/>
        <w:rPr>
          <w:rtl/>
        </w:rPr>
      </w:pPr>
      <w:r>
        <w:rPr>
          <w:rFonts w:ascii="Calibri" w:hAnsi="Calibri" w:cs="Calibri"/>
          <w:b/>
          <w:bCs/>
          <w:color w:val="000000"/>
          <w:u w:val="single"/>
          <w:rtl/>
        </w:rPr>
        <w:t>המלצות למערכת המשפט:</w:t>
      </w:r>
    </w:p>
    <w:p w:rsidR="00EA0DAD" w:rsidRDefault="00EA0DAD" w:rsidP="00EA0DAD">
      <w:pPr>
        <w:pStyle w:val="NormalWeb"/>
        <w:numPr>
          <w:ilvl w:val="0"/>
          <w:numId w:val="12"/>
        </w:numPr>
        <w:bidi/>
        <w:spacing w:before="0" w:beforeAutospacing="0" w:after="0" w:afterAutospacing="0"/>
        <w:ind w:right="-360"/>
        <w:jc w:val="both"/>
        <w:textAlignment w:val="baseline"/>
        <w:rPr>
          <w:rFonts w:ascii="Calibri" w:hAnsi="Calibri" w:cs="Calibri"/>
          <w:b/>
          <w:bCs/>
          <w:color w:val="000000"/>
          <w:rtl/>
        </w:rPr>
      </w:pPr>
      <w:r>
        <w:rPr>
          <w:rFonts w:ascii="Calibri" w:hAnsi="Calibri" w:cs="Calibri"/>
          <w:b/>
          <w:bCs/>
          <w:color w:val="000000"/>
          <w:rtl/>
        </w:rPr>
        <w:t>תוקף מדעי כבסיס לעדות מומחה: </w:t>
      </w:r>
    </w:p>
    <w:p w:rsidR="00EA0DAD" w:rsidRDefault="00EA0DAD" w:rsidP="00EA0DAD">
      <w:pPr>
        <w:pStyle w:val="NormalWeb"/>
        <w:numPr>
          <w:ilvl w:val="0"/>
          <w:numId w:val="13"/>
        </w:numPr>
        <w:bidi/>
        <w:spacing w:before="0" w:beforeAutospacing="0" w:after="0" w:afterAutospacing="0"/>
        <w:ind w:right="-360"/>
        <w:jc w:val="both"/>
        <w:textAlignment w:val="baseline"/>
        <w:rPr>
          <w:rFonts w:ascii="Calibri" w:hAnsi="Calibri" w:cs="Calibri"/>
          <w:color w:val="000000"/>
          <w:rtl/>
        </w:rPr>
      </w:pPr>
      <w:r>
        <w:rPr>
          <w:rFonts w:ascii="Calibri" w:hAnsi="Calibri" w:cs="Calibri"/>
          <w:color w:val="000000"/>
          <w:rtl/>
        </w:rPr>
        <w:t xml:space="preserve">על השופט הפדרלי להתחשב בקריטריונים המדעיים המתאימים להערכת תוקף מדעי כולל, בקבלו עדות מומחה (לפי </w:t>
      </w:r>
      <w:r>
        <w:rPr>
          <w:rFonts w:ascii="Calibri" w:hAnsi="Calibri" w:cs="Calibri"/>
          <w:color w:val="000000"/>
        </w:rPr>
        <w:t>Rule 702(c), 702(d</w:t>
      </w:r>
      <w:r>
        <w:rPr>
          <w:rFonts w:ascii="Calibri" w:hAnsi="Calibri" w:cs="Calibri"/>
          <w:color w:val="000000"/>
          <w:rtl/>
        </w:rPr>
        <w:t xml:space="preserve">)). כששופטם </w:t>
      </w:r>
      <w:proofErr w:type="spellStart"/>
      <w:r>
        <w:rPr>
          <w:rFonts w:ascii="Calibri" w:hAnsi="Calibri" w:cs="Calibri"/>
          <w:color w:val="000000"/>
          <w:rtl/>
        </w:rPr>
        <w:t>פדרלים</w:t>
      </w:r>
      <w:proofErr w:type="spellEnd"/>
      <w:r>
        <w:rPr>
          <w:rFonts w:ascii="Calibri" w:hAnsi="Calibri" w:cs="Calibri"/>
          <w:color w:val="000000"/>
          <w:rtl/>
        </w:rPr>
        <w:t xml:space="preserve"> מתירים למומחה להעיד על שיטת השוואה, נדרש להגביל עדות בדבר דיוק לפי העדויות האמפיריות התומכות בכך.  אין להתיר הצהרות המרמזות על רמת דיוק גבוהה יותר (שאינן תקפות מדעית) ובכלל זה גם הצהרות כגון "שיעור טעות 0".</w:t>
      </w:r>
    </w:p>
    <w:p w:rsidR="00EA0DAD" w:rsidRDefault="00EA0DAD" w:rsidP="00EA0DAD">
      <w:pPr>
        <w:pStyle w:val="NormalWeb"/>
        <w:numPr>
          <w:ilvl w:val="0"/>
          <w:numId w:val="13"/>
        </w:numPr>
        <w:bidi/>
        <w:spacing w:before="0" w:beforeAutospacing="0" w:after="0" w:afterAutospacing="0"/>
        <w:ind w:right="-360"/>
        <w:jc w:val="both"/>
        <w:textAlignment w:val="baseline"/>
        <w:rPr>
          <w:rFonts w:ascii="Calibri" w:hAnsi="Calibri" w:cs="Calibri"/>
          <w:color w:val="000000"/>
          <w:rtl/>
        </w:rPr>
      </w:pPr>
      <w:r>
        <w:rPr>
          <w:rFonts w:ascii="Calibri" w:hAnsi="Calibri" w:cs="Calibri"/>
          <w:color w:val="000000"/>
          <w:rtl/>
        </w:rPr>
        <w:t>ועדת השיפוט של ארה"ב צריכה להכין (ע"פ עצות הקהילה המדעית) מדריך שיטות עבודה מומלצות וההערות הועדה המייעצת, אשר יספק הנחיות לשופטים פדרליים לגבי קבילותן של עדויות מומחים לפי כלל 702.</w:t>
      </w:r>
    </w:p>
    <w:p w:rsidR="00EA0DAD" w:rsidRDefault="00EA0DAD" w:rsidP="00EA0DAD">
      <w:pPr>
        <w:pStyle w:val="NormalWeb"/>
        <w:numPr>
          <w:ilvl w:val="0"/>
          <w:numId w:val="13"/>
        </w:numPr>
        <w:bidi/>
        <w:spacing w:before="0" w:beforeAutospacing="0" w:after="0" w:afterAutospacing="0"/>
        <w:ind w:right="-360"/>
        <w:jc w:val="both"/>
        <w:textAlignment w:val="baseline"/>
        <w:rPr>
          <w:rFonts w:ascii="Calibri" w:hAnsi="Calibri" w:cs="Calibri"/>
          <w:color w:val="000000"/>
          <w:rtl/>
        </w:rPr>
      </w:pPr>
      <w:r>
        <w:rPr>
          <w:rFonts w:ascii="Calibri" w:hAnsi="Calibri" w:cs="Calibri"/>
          <w:color w:val="000000"/>
          <w:rtl/>
        </w:rPr>
        <w:t>על המרכז השיפוטי הפדרלי לפתח תכניות הנוגעות לקריטריונים מדעיים המעידים על תוקפן המדעי של שיטות השוואה פורנזיות.</w:t>
      </w:r>
    </w:p>
    <w:p w:rsidR="009B51FB" w:rsidRDefault="00EA0DAD"/>
    <w:sectPr w:rsidR="009B51FB" w:rsidSect="003131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AED"/>
    <w:multiLevelType w:val="multilevel"/>
    <w:tmpl w:val="E086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42C47"/>
    <w:multiLevelType w:val="multilevel"/>
    <w:tmpl w:val="96FE2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D560D"/>
    <w:multiLevelType w:val="multilevel"/>
    <w:tmpl w:val="CF7C54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80449"/>
    <w:multiLevelType w:val="multilevel"/>
    <w:tmpl w:val="3772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766E2"/>
    <w:multiLevelType w:val="multilevel"/>
    <w:tmpl w:val="88B4F9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CE27D5"/>
    <w:multiLevelType w:val="multilevel"/>
    <w:tmpl w:val="ABFA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A16715"/>
    <w:multiLevelType w:val="multilevel"/>
    <w:tmpl w:val="AB4E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7F6AEB"/>
    <w:multiLevelType w:val="multilevel"/>
    <w:tmpl w:val="EE42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AF373C"/>
    <w:multiLevelType w:val="multilevel"/>
    <w:tmpl w:val="5A9C7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5C6AEC"/>
    <w:multiLevelType w:val="hybridMultilevel"/>
    <w:tmpl w:val="32181CAE"/>
    <w:lvl w:ilvl="0" w:tplc="F1FC114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773DD3"/>
    <w:multiLevelType w:val="multilevel"/>
    <w:tmpl w:val="1D661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2E348B"/>
    <w:multiLevelType w:val="multilevel"/>
    <w:tmpl w:val="0854D0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0"/>
  </w:num>
  <w:num w:numId="8">
    <w:abstractNumId w:val="4"/>
    <w:lvlOverride w:ilvl="0">
      <w:lvl w:ilvl="0">
        <w:numFmt w:val="decimal"/>
        <w:lvlText w:val="%1."/>
        <w:lvlJc w:val="left"/>
      </w:lvl>
    </w:lvlOverride>
  </w:num>
  <w:num w:numId="9">
    <w:abstractNumId w:val="7"/>
  </w:num>
  <w:num w:numId="10">
    <w:abstractNumId w:val="2"/>
    <w:lvlOverride w:ilvl="0">
      <w:lvl w:ilvl="0">
        <w:numFmt w:val="decimal"/>
        <w:lvlText w:val="%1."/>
        <w:lvlJc w:val="left"/>
      </w:lvl>
    </w:lvlOverride>
  </w:num>
  <w:num w:numId="11">
    <w:abstractNumId w:val="8"/>
  </w:num>
  <w:num w:numId="12">
    <w:abstractNumId w:val="11"/>
    <w:lvlOverride w:ilvl="0">
      <w:lvl w:ilvl="0">
        <w:numFmt w:val="decimal"/>
        <w:lvlText w:val="%1."/>
        <w:lvlJc w:val="left"/>
      </w:lvl>
    </w:lvlOverride>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AD"/>
    <w:rsid w:val="003131C2"/>
    <w:rsid w:val="00656680"/>
    <w:rsid w:val="00EA0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DA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DA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968</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dc:creator>
  <cp:lastModifiedBy>Shira</cp:lastModifiedBy>
  <cp:revision>1</cp:revision>
  <dcterms:created xsi:type="dcterms:W3CDTF">2020-03-16T15:08:00Z</dcterms:created>
  <dcterms:modified xsi:type="dcterms:W3CDTF">2020-03-17T13:02:00Z</dcterms:modified>
</cp:coreProperties>
</file>